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#91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90</w:t>
      </w:r>
      <w:r w:rsidR="00190F8C">
        <w:rPr>
          <w:rFonts w:ascii="Arial" w:hAnsi="Arial" w:cs="Arial"/>
          <w:b/>
          <w:lang w:val="de-DE"/>
        </w:rPr>
        <w:t>7178</w:t>
      </w:r>
      <w:r>
        <w:rPr>
          <w:rFonts w:ascii="Arial" w:hAnsi="Arial" w:cs="Arial"/>
          <w:b/>
          <w:lang w:val="de-DE"/>
        </w:rPr>
        <w:br/>
      </w:r>
      <w:r>
        <w:rPr>
          <w:rFonts w:ascii="Arial" w:hAnsi="Arial" w:cs="Arial"/>
          <w:b/>
        </w:rPr>
        <w:t>Reno, USA, May 13 – 17, 2019</w:t>
      </w:r>
    </w:p>
    <w:p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Pr="00D428D1"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>5</w:t>
      </w:r>
      <w:r w:rsidRPr="00D428D1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9.</w:t>
      </w:r>
      <w:r w:rsidR="001672FF">
        <w:rPr>
          <w:rFonts w:ascii="Arial" w:hAnsi="Arial" w:cs="Arial"/>
          <w:b/>
        </w:rPr>
        <w:t>2</w:t>
      </w:r>
    </w:p>
    <w:p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:rsidR="00021B8B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1672FF">
        <w:rPr>
          <w:rFonts w:ascii="Arial" w:hAnsi="Arial" w:cs="Arial"/>
          <w:b/>
        </w:rPr>
        <w:t>On multi-band relaxation</w:t>
      </w:r>
    </w:p>
    <w:p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021B8B" w:rsidRPr="00871EA3" w:rsidRDefault="00021B8B" w:rsidP="00021B8B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1672FF" w:rsidRDefault="001672FF" w:rsidP="00844CF4">
      <w:pPr>
        <w:rPr>
          <w:sz w:val="20"/>
          <w:szCs w:val="20"/>
        </w:rPr>
      </w:pPr>
      <w:r>
        <w:rPr>
          <w:sz w:val="20"/>
          <w:szCs w:val="20"/>
        </w:rPr>
        <w:t>Relaxations for devices supporting multiple FR2 bands were approved after extensive discussions on performance impact and agreeing on a working framework to derive the multi-band relaxations [</w:t>
      </w:r>
      <w:r w:rsidR="00F13457">
        <w:rPr>
          <w:sz w:val="20"/>
          <w:szCs w:val="20"/>
        </w:rPr>
        <w:t>1</w:t>
      </w:r>
      <w:r>
        <w:rPr>
          <w:sz w:val="20"/>
          <w:szCs w:val="20"/>
        </w:rPr>
        <w:t>-</w:t>
      </w:r>
      <w:r w:rsidR="00F13457">
        <w:rPr>
          <w:sz w:val="20"/>
          <w:szCs w:val="20"/>
        </w:rPr>
        <w:t>3</w:t>
      </w:r>
      <w:r>
        <w:rPr>
          <w:sz w:val="20"/>
          <w:szCs w:val="20"/>
        </w:rPr>
        <w:t xml:space="preserve">]. The </w:t>
      </w:r>
      <w:r w:rsidR="000305CA">
        <w:rPr>
          <w:sz w:val="20"/>
          <w:szCs w:val="20"/>
        </w:rPr>
        <w:t xml:space="preserve">approved </w:t>
      </w:r>
      <w:r>
        <w:rPr>
          <w:sz w:val="20"/>
          <w:szCs w:val="20"/>
        </w:rPr>
        <w:t xml:space="preserve">relaxations were then </w:t>
      </w:r>
      <w:r w:rsidR="000305CA">
        <w:rPr>
          <w:sz w:val="20"/>
          <w:szCs w:val="20"/>
        </w:rPr>
        <w:t xml:space="preserve">added to TS 38.101-2 </w:t>
      </w:r>
      <w:r>
        <w:rPr>
          <w:sz w:val="20"/>
          <w:szCs w:val="20"/>
        </w:rPr>
        <w:t>in a table li</w:t>
      </w:r>
      <w:r w:rsidR="000305CA">
        <w:rPr>
          <w:sz w:val="20"/>
          <w:szCs w:val="20"/>
        </w:rPr>
        <w:t>sting</w:t>
      </w:r>
      <w:r>
        <w:rPr>
          <w:sz w:val="20"/>
          <w:szCs w:val="20"/>
        </w:rPr>
        <w:t xml:space="preserve"> t</w:t>
      </w:r>
      <w:r w:rsidR="000305CA">
        <w:rPr>
          <w:sz w:val="20"/>
          <w:szCs w:val="20"/>
        </w:rPr>
        <w:t>wo separate</w:t>
      </w:r>
      <w:r>
        <w:rPr>
          <w:sz w:val="20"/>
          <w:szCs w:val="20"/>
        </w:rPr>
        <w:t xml:space="preserve"> max</w:t>
      </w:r>
      <w:r w:rsidR="000305CA">
        <w:rPr>
          <w:sz w:val="20"/>
          <w:szCs w:val="20"/>
        </w:rPr>
        <w:t>imum</w:t>
      </w:r>
      <w:r>
        <w:rPr>
          <w:sz w:val="20"/>
          <w:szCs w:val="20"/>
        </w:rPr>
        <w:t xml:space="preserve"> relaxation</w:t>
      </w:r>
      <w:r w:rsidR="000305CA">
        <w:rPr>
          <w:sz w:val="20"/>
          <w:szCs w:val="20"/>
        </w:rPr>
        <w:t>s:</w:t>
      </w:r>
      <w:r>
        <w:rPr>
          <w:sz w:val="20"/>
          <w:szCs w:val="20"/>
        </w:rPr>
        <w:t xml:space="preserve"> </w:t>
      </w:r>
      <w:r w:rsidR="000305CA">
        <w:rPr>
          <w:sz w:val="20"/>
          <w:szCs w:val="20"/>
        </w:rPr>
        <w:t xml:space="preserve">one for the </w:t>
      </w:r>
      <w:r>
        <w:rPr>
          <w:sz w:val="20"/>
          <w:szCs w:val="20"/>
        </w:rPr>
        <w:t xml:space="preserve">peak EIRP </w:t>
      </w:r>
      <w:r w:rsidR="000305CA">
        <w:rPr>
          <w:sz w:val="20"/>
          <w:szCs w:val="20"/>
        </w:rPr>
        <w:t xml:space="preserve">requirement </w:t>
      </w:r>
      <w:r>
        <w:rPr>
          <w:sz w:val="20"/>
          <w:szCs w:val="20"/>
        </w:rPr>
        <w:t xml:space="preserve">and </w:t>
      </w:r>
      <w:r w:rsidR="000305CA">
        <w:rPr>
          <w:sz w:val="20"/>
          <w:szCs w:val="20"/>
        </w:rPr>
        <w:t xml:space="preserve">one for </w:t>
      </w:r>
      <w:r>
        <w:rPr>
          <w:sz w:val="20"/>
          <w:szCs w:val="20"/>
        </w:rPr>
        <w:t>spherical coverage requ</w:t>
      </w:r>
      <w:r w:rsidR="000305CA">
        <w:rPr>
          <w:sz w:val="20"/>
          <w:szCs w:val="20"/>
        </w:rPr>
        <w:t>irement [</w:t>
      </w:r>
      <w:r w:rsidR="00F13457">
        <w:rPr>
          <w:sz w:val="20"/>
          <w:szCs w:val="20"/>
        </w:rPr>
        <w:t>4</w:t>
      </w:r>
      <w:r w:rsidR="000305CA">
        <w:rPr>
          <w:sz w:val="20"/>
          <w:szCs w:val="20"/>
        </w:rPr>
        <w:t>]</w:t>
      </w:r>
      <w:r>
        <w:rPr>
          <w:sz w:val="20"/>
          <w:szCs w:val="20"/>
        </w:rPr>
        <w:t>.</w:t>
      </w:r>
    </w:p>
    <w:p w:rsidR="00264E62" w:rsidRDefault="00264E62" w:rsidP="00844CF4">
      <w:pPr>
        <w:rPr>
          <w:sz w:val="20"/>
          <w:szCs w:val="20"/>
        </w:rPr>
      </w:pPr>
    </w:p>
    <w:p w:rsidR="00F13457" w:rsidRDefault="00264E62" w:rsidP="00844CF4">
      <w:pPr>
        <w:rPr>
          <w:sz w:val="20"/>
          <w:szCs w:val="20"/>
        </w:rPr>
      </w:pPr>
      <w:r>
        <w:rPr>
          <w:sz w:val="20"/>
          <w:szCs w:val="20"/>
        </w:rPr>
        <w:t xml:space="preserve">For the </w:t>
      </w:r>
      <w:r w:rsidR="000305CA">
        <w:rPr>
          <w:sz w:val="20"/>
          <w:szCs w:val="20"/>
        </w:rPr>
        <w:t>existing</w:t>
      </w:r>
      <w:r>
        <w:rPr>
          <w:sz w:val="20"/>
          <w:szCs w:val="20"/>
        </w:rPr>
        <w:t xml:space="preserve"> four FR2 bands, </w:t>
      </w:r>
      <w:r w:rsidR="00A723F7">
        <w:rPr>
          <w:sz w:val="20"/>
          <w:szCs w:val="20"/>
        </w:rPr>
        <w:t xml:space="preserve">during our February RAN4 #90 meeting, </w:t>
      </w:r>
      <w:r>
        <w:rPr>
          <w:sz w:val="20"/>
          <w:szCs w:val="20"/>
        </w:rPr>
        <w:t xml:space="preserve">there were </w:t>
      </w:r>
      <w:r w:rsidR="00F13457">
        <w:rPr>
          <w:sz w:val="20"/>
          <w:szCs w:val="20"/>
        </w:rPr>
        <w:t>three</w:t>
      </w:r>
      <w:r>
        <w:rPr>
          <w:sz w:val="20"/>
          <w:szCs w:val="20"/>
        </w:rPr>
        <w:t xml:space="preserve"> possible c</w:t>
      </w:r>
      <w:r w:rsidR="005876D9">
        <w:rPr>
          <w:sz w:val="20"/>
          <w:szCs w:val="20"/>
        </w:rPr>
        <w:t>ase</w:t>
      </w:r>
      <w:r>
        <w:rPr>
          <w:sz w:val="20"/>
          <w:szCs w:val="20"/>
        </w:rPr>
        <w:t>s missing from</w:t>
      </w:r>
      <w:r w:rsidR="000305CA">
        <w:rPr>
          <w:sz w:val="20"/>
          <w:szCs w:val="20"/>
        </w:rPr>
        <w:t xml:space="preserve"> the</w:t>
      </w:r>
      <w:r w:rsidR="001672F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relaxation table: </w:t>
      </w:r>
    </w:p>
    <w:p w:rsidR="00F13457" w:rsidRPr="00A723F7" w:rsidRDefault="00264E62" w:rsidP="00A723F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723F7">
        <w:rPr>
          <w:sz w:val="20"/>
          <w:szCs w:val="20"/>
        </w:rPr>
        <w:t>n25</w:t>
      </w:r>
      <w:r w:rsidR="00F13457" w:rsidRPr="00A723F7">
        <w:rPr>
          <w:sz w:val="20"/>
          <w:szCs w:val="20"/>
        </w:rPr>
        <w:t xml:space="preserve">7 </w:t>
      </w:r>
      <w:r w:rsidRPr="00A723F7">
        <w:rPr>
          <w:sz w:val="20"/>
          <w:szCs w:val="20"/>
        </w:rPr>
        <w:t>+</w:t>
      </w:r>
      <w:r w:rsidR="00F13457" w:rsidRPr="00A723F7">
        <w:rPr>
          <w:sz w:val="20"/>
          <w:szCs w:val="20"/>
        </w:rPr>
        <w:t xml:space="preserve"> </w:t>
      </w:r>
      <w:r w:rsidRPr="00A723F7">
        <w:rPr>
          <w:sz w:val="20"/>
          <w:szCs w:val="20"/>
        </w:rPr>
        <w:t>n26</w:t>
      </w:r>
      <w:r w:rsidR="00F13457" w:rsidRPr="00A723F7">
        <w:rPr>
          <w:sz w:val="20"/>
          <w:szCs w:val="20"/>
        </w:rPr>
        <w:t>0</w:t>
      </w:r>
    </w:p>
    <w:p w:rsidR="00F13457" w:rsidRPr="00A723F7" w:rsidRDefault="00264E62" w:rsidP="00A723F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723F7">
        <w:rPr>
          <w:sz w:val="20"/>
          <w:szCs w:val="20"/>
        </w:rPr>
        <w:t>n257 + n26</w:t>
      </w:r>
      <w:r w:rsidR="00F13457" w:rsidRPr="00A723F7">
        <w:rPr>
          <w:sz w:val="20"/>
          <w:szCs w:val="20"/>
        </w:rPr>
        <w:t>1</w:t>
      </w:r>
    </w:p>
    <w:p w:rsidR="00F13457" w:rsidRPr="00A723F7" w:rsidRDefault="00F13457" w:rsidP="00A723F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723F7">
        <w:rPr>
          <w:sz w:val="20"/>
          <w:szCs w:val="20"/>
        </w:rPr>
        <w:t>n257 + n258 + n260</w:t>
      </w:r>
    </w:p>
    <w:p w:rsidR="00F13457" w:rsidRDefault="00F13457" w:rsidP="00844CF4">
      <w:pPr>
        <w:rPr>
          <w:sz w:val="20"/>
          <w:szCs w:val="20"/>
        </w:rPr>
      </w:pPr>
    </w:p>
    <w:p w:rsidR="000305CA" w:rsidRDefault="005876D9" w:rsidP="005876D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 paper presented in</w:t>
      </w:r>
      <w:r w:rsidR="00264E62">
        <w:rPr>
          <w:sz w:val="20"/>
          <w:szCs w:val="20"/>
        </w:rPr>
        <w:t xml:space="preserve"> RAN4 #90</w:t>
      </w:r>
      <w:r w:rsidR="00A723F7">
        <w:rPr>
          <w:sz w:val="20"/>
          <w:szCs w:val="20"/>
        </w:rPr>
        <w:t xml:space="preserve"> </w:t>
      </w:r>
      <w:r w:rsidR="00264E62">
        <w:rPr>
          <w:sz w:val="20"/>
          <w:szCs w:val="20"/>
        </w:rPr>
        <w:t>[</w:t>
      </w:r>
      <w:r w:rsidR="00A723F7">
        <w:rPr>
          <w:sz w:val="20"/>
          <w:szCs w:val="20"/>
        </w:rPr>
        <w:t>5]</w:t>
      </w:r>
      <w:r>
        <w:rPr>
          <w:sz w:val="20"/>
          <w:szCs w:val="20"/>
        </w:rPr>
        <w:t>,</w:t>
      </w:r>
      <w:r w:rsidR="00A723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had proposals for each of the three cases listed above. The online discussion of the paper </w:t>
      </w:r>
      <w:r w:rsidR="00A723F7">
        <w:rPr>
          <w:sz w:val="20"/>
          <w:szCs w:val="20"/>
        </w:rPr>
        <w:t>led to the</w:t>
      </w:r>
      <w:r>
        <w:rPr>
          <w:sz w:val="20"/>
          <w:szCs w:val="20"/>
        </w:rPr>
        <w:t xml:space="preserve"> </w:t>
      </w:r>
      <w:r w:rsidR="00A723F7">
        <w:rPr>
          <w:sz w:val="20"/>
          <w:szCs w:val="20"/>
        </w:rPr>
        <w:t>agreements</w:t>
      </w:r>
      <w:r>
        <w:rPr>
          <w:sz w:val="20"/>
          <w:szCs w:val="20"/>
        </w:rPr>
        <w:t xml:space="preserve"> below, which were</w:t>
      </w:r>
      <w:r w:rsidR="00A723F7">
        <w:rPr>
          <w:sz w:val="20"/>
          <w:szCs w:val="20"/>
        </w:rPr>
        <w:t xml:space="preserve"> captured in the Chairman’s report [</w:t>
      </w:r>
      <w:r>
        <w:rPr>
          <w:sz w:val="20"/>
          <w:szCs w:val="20"/>
        </w:rPr>
        <w:t>6</w:t>
      </w:r>
      <w:r w:rsidR="00A723F7">
        <w:rPr>
          <w:sz w:val="20"/>
          <w:szCs w:val="20"/>
        </w:rPr>
        <w:t>]</w:t>
      </w:r>
      <w:r>
        <w:rPr>
          <w:sz w:val="20"/>
          <w:szCs w:val="20"/>
        </w:rPr>
        <w:t>.</w:t>
      </w:r>
      <w:r w:rsidR="00264E62">
        <w:rPr>
          <w:sz w:val="20"/>
          <w:szCs w:val="20"/>
        </w:rPr>
        <w:t xml:space="preserve"> </w:t>
      </w:r>
    </w:p>
    <w:p w:rsidR="00C03832" w:rsidRDefault="00C03832" w:rsidP="00844CF4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4CDC398B" wp14:editId="37987ACA">
                <wp:extent cx="6120765" cy="1787861"/>
                <wp:effectExtent l="0" t="0" r="13335" b="1651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78786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75F" w:rsidRPr="005876D9" w:rsidRDefault="001F175F" w:rsidP="005876D9">
                            <w:pPr>
                              <w:spacing w:before="60"/>
                              <w:rPr>
                                <w:sz w:val="22"/>
                                <w:szCs w:val="22"/>
                              </w:rPr>
                            </w:pPr>
                            <w:r w:rsidRPr="005876D9">
                              <w:rPr>
                                <w:sz w:val="22"/>
                                <w:szCs w:val="22"/>
                                <w:highlight w:val="green"/>
                              </w:rPr>
                              <w:t>Proposal1: For “n257, n260”, ΣMBP is = 1 dB, and ΣMBS is = 0.75 dB.</w:t>
                            </w:r>
                            <w:r w:rsidRPr="005876D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1F175F" w:rsidRPr="005876D9" w:rsidRDefault="001F175F" w:rsidP="005876D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876D9">
                              <w:rPr>
                                <w:sz w:val="22"/>
                                <w:szCs w:val="22"/>
                              </w:rPr>
                              <w:t xml:space="preserve">Proposal2: For “n257, n261”, ΣMBP is 0.0 dB, and ΣMBS is 0.0 dB. </w:t>
                            </w:r>
                          </w:p>
                          <w:p w:rsidR="001F175F" w:rsidRPr="005876D9" w:rsidRDefault="001F175F" w:rsidP="005876D9">
                            <w:pPr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 w:rsidRPr="005876D9">
                              <w:rPr>
                                <w:sz w:val="22"/>
                                <w:szCs w:val="22"/>
                                <w:highlight w:val="green"/>
                              </w:rPr>
                              <w:t>Proposal3: For “n257, n258, n260”, ΣMBP is = 1.7 dB, and ΣMBS is = 1.75 dB.</w:t>
                            </w:r>
                            <w:r w:rsidRPr="005876D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DC398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14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" filled="f" strokeweight=".5pt">
                <v:textbox style="mso-fit-shape-to-text:t">
                  <w:txbxContent>
                    <w:p w:rsidR="001F175F" w:rsidRPr="005876D9" w:rsidRDefault="001F175F" w:rsidP="005876D9">
                      <w:pPr>
                        <w:spacing w:before="60"/>
                        <w:rPr>
                          <w:sz w:val="22"/>
                          <w:szCs w:val="22"/>
                        </w:rPr>
                      </w:pPr>
                      <w:r w:rsidRPr="005876D9">
                        <w:rPr>
                          <w:sz w:val="22"/>
                          <w:szCs w:val="22"/>
                          <w:highlight w:val="green"/>
                        </w:rPr>
                        <w:t>Proposal1: For “n257, n260”, ΣMBP is = 1 dB, and ΣMBS is = 0.75 dB.</w:t>
                      </w:r>
                      <w:r w:rsidRPr="005876D9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1F175F" w:rsidRPr="005876D9" w:rsidRDefault="001F175F" w:rsidP="005876D9">
                      <w:pPr>
                        <w:rPr>
                          <w:sz w:val="22"/>
                          <w:szCs w:val="22"/>
                        </w:rPr>
                      </w:pPr>
                      <w:r w:rsidRPr="005876D9">
                        <w:rPr>
                          <w:sz w:val="22"/>
                          <w:szCs w:val="22"/>
                        </w:rPr>
                        <w:t xml:space="preserve">Proposal2: For “n257, n261”, ΣMBP is 0.0 dB, and ΣMBS is 0.0 dB. </w:t>
                      </w:r>
                    </w:p>
                    <w:p w:rsidR="001F175F" w:rsidRPr="005876D9" w:rsidRDefault="001F175F" w:rsidP="005876D9">
                      <w:pPr>
                        <w:spacing w:after="60"/>
                        <w:rPr>
                          <w:sz w:val="22"/>
                          <w:szCs w:val="22"/>
                        </w:rPr>
                      </w:pPr>
                      <w:r w:rsidRPr="005876D9">
                        <w:rPr>
                          <w:sz w:val="22"/>
                          <w:szCs w:val="22"/>
                          <w:highlight w:val="green"/>
                        </w:rPr>
                        <w:t>Proposal3: For “n257, n258, n260”, ΣMBP is = 1.7 dB, and ΣMBS is = 1.75 dB.</w:t>
                      </w:r>
                      <w:r w:rsidRPr="005876D9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4E62" w:rsidRDefault="00264E62" w:rsidP="00844CF4">
      <w:pPr>
        <w:rPr>
          <w:sz w:val="20"/>
          <w:szCs w:val="20"/>
        </w:rPr>
      </w:pPr>
    </w:p>
    <w:p w:rsidR="000305CA" w:rsidRDefault="005876D9" w:rsidP="009145E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remaining case n257 + n261 was then addressed in the </w:t>
      </w:r>
      <w:r w:rsidR="009145EC">
        <w:rPr>
          <w:sz w:val="20"/>
          <w:szCs w:val="20"/>
        </w:rPr>
        <w:t>next RAN4</w:t>
      </w:r>
      <w:r>
        <w:rPr>
          <w:sz w:val="20"/>
          <w:szCs w:val="20"/>
        </w:rPr>
        <w:t xml:space="preserve"> meeting [7]</w:t>
      </w:r>
      <w:r w:rsidR="005F62C2">
        <w:rPr>
          <w:sz w:val="20"/>
          <w:szCs w:val="20"/>
        </w:rPr>
        <w:t xml:space="preserve">, and </w:t>
      </w:r>
      <w:r w:rsidR="009145EC">
        <w:rPr>
          <w:sz w:val="20"/>
          <w:szCs w:val="20"/>
        </w:rPr>
        <w:t xml:space="preserve">it was </w:t>
      </w:r>
      <w:r w:rsidR="005F62C2">
        <w:rPr>
          <w:sz w:val="20"/>
          <w:szCs w:val="20"/>
        </w:rPr>
        <w:t>agree</w:t>
      </w:r>
      <w:r w:rsidR="009145EC">
        <w:rPr>
          <w:sz w:val="20"/>
          <w:szCs w:val="20"/>
        </w:rPr>
        <w:t xml:space="preserve">d that the relaxation for this case will be 0dB for both the peak EIRP and spherical coverage requirements </w:t>
      </w:r>
      <w:r w:rsidR="005F62C2">
        <w:rPr>
          <w:sz w:val="20"/>
          <w:szCs w:val="20"/>
        </w:rPr>
        <w:t>[8]</w:t>
      </w:r>
      <w:r>
        <w:rPr>
          <w:sz w:val="20"/>
          <w:szCs w:val="20"/>
        </w:rPr>
        <w:t xml:space="preserve">. </w:t>
      </w:r>
      <w:r w:rsidR="000305CA">
        <w:rPr>
          <w:sz w:val="20"/>
          <w:szCs w:val="20"/>
        </w:rPr>
        <w:t xml:space="preserve"> </w:t>
      </w:r>
    </w:p>
    <w:p w:rsidR="00844CF4" w:rsidRDefault="00C03832" w:rsidP="00C03832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11102C66" wp14:editId="3483F922">
                <wp:extent cx="6120765" cy="243840"/>
                <wp:effectExtent l="0" t="0" r="13335" b="2286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43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75F" w:rsidRPr="005876D9" w:rsidRDefault="001F175F" w:rsidP="005876D9">
                            <w:pPr>
                              <w:spacing w:before="60" w:after="60"/>
                              <w:rPr>
                                <w:rFonts w:eastAsia="Yu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876D9">
                              <w:rPr>
                                <w:rFonts w:eastAsia="Yu Mincho" w:hint="eastAsia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The agreement: multiband relaxation value for n257 + n261 is 0dB.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102C66" id="Text Box 6" o:spid="_x0000_s1027" type="#_x0000_t202" style="width:481.9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" filled="f" strokeweight=".5pt">
                <v:textbox style="mso-fit-shape-to-text:t">
                  <w:txbxContent>
                    <w:p w:rsidR="001F175F" w:rsidRPr="005876D9" w:rsidRDefault="001F175F" w:rsidP="005876D9">
                      <w:pPr>
                        <w:spacing w:before="60" w:after="60"/>
                        <w:rPr>
                          <w:rFonts w:eastAsia="Yu Mincho"/>
                          <w:sz w:val="22"/>
                          <w:szCs w:val="22"/>
                          <w:lang w:eastAsia="ja-JP"/>
                        </w:rPr>
                      </w:pPr>
                      <w:r w:rsidRPr="005876D9">
                        <w:rPr>
                          <w:rFonts w:eastAsia="Yu Mincho" w:hint="eastAsia"/>
                          <w:sz w:val="22"/>
                          <w:szCs w:val="22"/>
                          <w:highlight w:val="green"/>
                          <w:lang w:eastAsia="ja-JP"/>
                        </w:rPr>
                        <w:t>The agreement: multiband relaxation value for n257 + n261 is 0dB.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44CF4" w:rsidRDefault="00844CF4" w:rsidP="001B74C8">
      <w:pPr>
        <w:rPr>
          <w:sz w:val="20"/>
          <w:szCs w:val="20"/>
        </w:rPr>
      </w:pPr>
    </w:p>
    <w:p w:rsidR="00C03832" w:rsidRDefault="009145EC" w:rsidP="00C03832">
      <w:pPr>
        <w:rPr>
          <w:sz w:val="20"/>
          <w:szCs w:val="20"/>
        </w:rPr>
      </w:pPr>
      <w:r>
        <w:rPr>
          <w:sz w:val="20"/>
          <w:szCs w:val="20"/>
        </w:rPr>
        <w:t xml:space="preserve">During RAN4 #90bis, we also discussed what would be the best way to incorporate </w:t>
      </w:r>
      <w:r w:rsidR="001B74C8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 w:rsidR="001B74C8">
        <w:rPr>
          <w:sz w:val="20"/>
          <w:szCs w:val="20"/>
        </w:rPr>
        <w:t>0dB</w:t>
      </w:r>
      <w:r>
        <w:rPr>
          <w:sz w:val="20"/>
          <w:szCs w:val="20"/>
        </w:rPr>
        <w:t xml:space="preserve"> </w:t>
      </w:r>
      <w:r w:rsidR="001B74C8">
        <w:rPr>
          <w:sz w:val="20"/>
          <w:szCs w:val="20"/>
        </w:rPr>
        <w:t xml:space="preserve">relaxation </w:t>
      </w:r>
      <w:r>
        <w:rPr>
          <w:sz w:val="20"/>
          <w:szCs w:val="20"/>
        </w:rPr>
        <w:t xml:space="preserve">agreement into TS 38.101-2 [9]. There was no consensus and the discussion was postponed. In this paper we present our views </w:t>
      </w:r>
      <w:r w:rsidR="001B74C8">
        <w:rPr>
          <w:sz w:val="20"/>
          <w:szCs w:val="20"/>
        </w:rPr>
        <w:t>on</w:t>
      </w:r>
      <w:r>
        <w:rPr>
          <w:sz w:val="20"/>
          <w:szCs w:val="20"/>
        </w:rPr>
        <w:t xml:space="preserve"> how </w:t>
      </w:r>
      <w:r w:rsidR="001B74C8">
        <w:rPr>
          <w:sz w:val="20"/>
          <w:szCs w:val="20"/>
        </w:rPr>
        <w:t>we should be address this in the spec</w:t>
      </w:r>
      <w:r>
        <w:rPr>
          <w:sz w:val="20"/>
          <w:szCs w:val="20"/>
        </w:rPr>
        <w:t>.</w:t>
      </w:r>
    </w:p>
    <w:p w:rsidR="00021B8B" w:rsidRPr="00C03832" w:rsidRDefault="00021B8B" w:rsidP="00C03832">
      <w:pPr>
        <w:pStyle w:val="Heading1"/>
        <w:rPr>
          <w:lang w:val="en-US"/>
        </w:rPr>
      </w:pPr>
      <w:r w:rsidRPr="00871EA3">
        <w:rPr>
          <w:lang w:val="en-US"/>
        </w:rPr>
        <w:t>Discussion</w:t>
      </w:r>
    </w:p>
    <w:p w:rsidR="001F175F" w:rsidRDefault="006F6E10" w:rsidP="001F175F">
      <w:pPr>
        <w:rPr>
          <w:sz w:val="20"/>
          <w:szCs w:val="20"/>
        </w:rPr>
      </w:pPr>
      <w:r>
        <w:rPr>
          <w:sz w:val="20"/>
          <w:szCs w:val="20"/>
        </w:rPr>
        <w:t>M</w:t>
      </w:r>
      <w:r w:rsidR="001F175F">
        <w:rPr>
          <w:sz w:val="20"/>
          <w:szCs w:val="20"/>
        </w:rPr>
        <w:t xml:space="preserve">ulti-band relaxations </w:t>
      </w:r>
      <w:r>
        <w:rPr>
          <w:sz w:val="20"/>
          <w:szCs w:val="20"/>
        </w:rPr>
        <w:t>for</w:t>
      </w:r>
      <w:r w:rsidR="001F175F">
        <w:rPr>
          <w:sz w:val="20"/>
          <w:szCs w:val="20"/>
        </w:rPr>
        <w:t xml:space="preserve"> FR2 were heavily discussed for several RAN4 meetings [1-2]. Ultimately, a compromise was reached and a working framework was </w:t>
      </w:r>
      <w:r>
        <w:rPr>
          <w:sz w:val="20"/>
          <w:szCs w:val="20"/>
        </w:rPr>
        <w:t>us</w:t>
      </w:r>
      <w:r w:rsidR="001F175F">
        <w:rPr>
          <w:sz w:val="20"/>
          <w:szCs w:val="20"/>
        </w:rPr>
        <w:t xml:space="preserve">ed to derive the relaxations [3]. It is important to note that the framework used worked for the </w:t>
      </w:r>
      <w:r>
        <w:rPr>
          <w:sz w:val="20"/>
          <w:szCs w:val="20"/>
        </w:rPr>
        <w:t xml:space="preserve">specific </w:t>
      </w:r>
      <w:r w:rsidR="001F175F">
        <w:rPr>
          <w:sz w:val="20"/>
          <w:szCs w:val="20"/>
        </w:rPr>
        <w:t>cases under discussion, and also included compromises. When</w:t>
      </w:r>
      <w:r>
        <w:rPr>
          <w:sz w:val="20"/>
          <w:szCs w:val="20"/>
        </w:rPr>
        <w:t>ever</w:t>
      </w:r>
      <w:r w:rsidR="001F175F">
        <w:rPr>
          <w:sz w:val="20"/>
          <w:szCs w:val="20"/>
        </w:rPr>
        <w:t xml:space="preserve"> new </w:t>
      </w:r>
      <w:r>
        <w:rPr>
          <w:sz w:val="20"/>
          <w:szCs w:val="20"/>
        </w:rPr>
        <w:t xml:space="preserve">bands </w:t>
      </w:r>
      <w:r w:rsidR="001F175F">
        <w:rPr>
          <w:sz w:val="20"/>
          <w:szCs w:val="20"/>
        </w:rPr>
        <w:t>are introduced</w:t>
      </w:r>
      <w:r>
        <w:rPr>
          <w:sz w:val="20"/>
          <w:szCs w:val="20"/>
        </w:rPr>
        <w:t xml:space="preserve"> in FR2</w:t>
      </w:r>
      <w:r w:rsidR="001F175F">
        <w:rPr>
          <w:sz w:val="20"/>
          <w:szCs w:val="20"/>
        </w:rPr>
        <w:t xml:space="preserve">, new cases </w:t>
      </w:r>
      <w:r>
        <w:rPr>
          <w:sz w:val="20"/>
          <w:szCs w:val="20"/>
        </w:rPr>
        <w:t xml:space="preserve">will be created </w:t>
      </w:r>
      <w:r w:rsidR="001F175F">
        <w:rPr>
          <w:sz w:val="20"/>
          <w:szCs w:val="20"/>
        </w:rPr>
        <w:t xml:space="preserve">for RAN4 to </w:t>
      </w:r>
      <w:r w:rsidR="008A3EDF">
        <w:rPr>
          <w:sz w:val="20"/>
          <w:szCs w:val="20"/>
        </w:rPr>
        <w:t>analyze</w:t>
      </w:r>
      <w:r w:rsidR="001F175F">
        <w:rPr>
          <w:sz w:val="20"/>
          <w:szCs w:val="20"/>
        </w:rPr>
        <w:t xml:space="preserve"> and discuss</w:t>
      </w:r>
      <w:r>
        <w:rPr>
          <w:sz w:val="20"/>
          <w:szCs w:val="20"/>
        </w:rPr>
        <w:t>.</w:t>
      </w:r>
      <w:r w:rsidR="001F175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This means that </w:t>
      </w:r>
      <w:r w:rsidR="001F175F">
        <w:rPr>
          <w:sz w:val="20"/>
          <w:szCs w:val="20"/>
        </w:rPr>
        <w:t>the framework used may or may not work</w:t>
      </w:r>
      <w:r>
        <w:rPr>
          <w:sz w:val="20"/>
          <w:szCs w:val="20"/>
        </w:rPr>
        <w:t xml:space="preserve"> for those new cases</w:t>
      </w:r>
      <w:r w:rsidR="001F175F">
        <w:rPr>
          <w:sz w:val="20"/>
          <w:szCs w:val="20"/>
        </w:rPr>
        <w:t>.</w:t>
      </w:r>
    </w:p>
    <w:p w:rsidR="001F175F" w:rsidRDefault="001F175F" w:rsidP="001F175F">
      <w:pPr>
        <w:rPr>
          <w:sz w:val="20"/>
          <w:szCs w:val="20"/>
        </w:rPr>
      </w:pPr>
    </w:p>
    <w:p w:rsidR="001F175F" w:rsidRDefault="001F175F" w:rsidP="001F175F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As new bands are introduced, we need to analyze their impact and agree on a framework to derive the </w:t>
      </w:r>
      <w:r w:rsidR="006F6E10">
        <w:rPr>
          <w:sz w:val="20"/>
          <w:szCs w:val="20"/>
        </w:rPr>
        <w:t xml:space="preserve">multi-band </w:t>
      </w:r>
      <w:r>
        <w:rPr>
          <w:sz w:val="20"/>
          <w:szCs w:val="20"/>
        </w:rPr>
        <w:t>relaxations.</w:t>
      </w:r>
    </w:p>
    <w:p w:rsidR="00C03832" w:rsidRDefault="00C03832" w:rsidP="00C03832">
      <w:pPr>
        <w:rPr>
          <w:sz w:val="20"/>
          <w:szCs w:val="20"/>
        </w:rPr>
      </w:pPr>
    </w:p>
    <w:p w:rsidR="00D736F3" w:rsidRDefault="006F6E10" w:rsidP="006F6E10">
      <w:pPr>
        <w:rPr>
          <w:sz w:val="20"/>
          <w:szCs w:val="20"/>
        </w:rPr>
      </w:pPr>
      <w:r>
        <w:rPr>
          <w:sz w:val="20"/>
          <w:szCs w:val="20"/>
        </w:rPr>
        <w:t>During our last RAN4 meeting, a discussion was triggered for how to best incorporate a 0dB relaxation in TS 38.101-2 [8-9]. The idea presented in [9] is to a</w:t>
      </w:r>
      <w:r w:rsidR="00400FC1">
        <w:rPr>
          <w:sz w:val="20"/>
          <w:szCs w:val="20"/>
        </w:rPr>
        <w:t>dd</w:t>
      </w:r>
      <w:r>
        <w:rPr>
          <w:sz w:val="20"/>
          <w:szCs w:val="20"/>
        </w:rPr>
        <w:t xml:space="preserve"> </w:t>
      </w:r>
      <w:r w:rsidR="00400FC1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sentence before the relaxation table stating the following: </w:t>
      </w:r>
    </w:p>
    <w:p w:rsidR="00D736F3" w:rsidRPr="00D736F3" w:rsidRDefault="006F6E10" w:rsidP="006F6E10">
      <w:pPr>
        <w:rPr>
          <w:i/>
          <w:sz w:val="20"/>
          <w:szCs w:val="20"/>
          <w:lang w:eastAsia="ja-JP"/>
        </w:rPr>
      </w:pPr>
      <w:r w:rsidRPr="00D736F3">
        <w:rPr>
          <w:i/>
          <w:sz w:val="20"/>
          <w:szCs w:val="20"/>
        </w:rPr>
        <w:t>“</w:t>
      </w:r>
      <w:r w:rsidRPr="00D736F3">
        <w:rPr>
          <w:rFonts w:hint="eastAsia"/>
          <w:i/>
          <w:sz w:val="20"/>
          <w:szCs w:val="20"/>
          <w:lang w:eastAsia="ja-JP"/>
        </w:rPr>
        <w:t>Unless otherwise stated with regard to supported bands, ∑MB</w:t>
      </w:r>
      <w:r w:rsidRPr="00D736F3">
        <w:rPr>
          <w:rFonts w:hint="eastAsia"/>
          <w:i/>
          <w:sz w:val="20"/>
          <w:szCs w:val="20"/>
          <w:vertAlign w:val="subscript"/>
          <w:lang w:eastAsia="ja-JP"/>
        </w:rPr>
        <w:t>P</w:t>
      </w:r>
      <w:r w:rsidRPr="00D736F3">
        <w:rPr>
          <w:rFonts w:hint="eastAsia"/>
          <w:i/>
          <w:sz w:val="20"/>
          <w:szCs w:val="20"/>
          <w:lang w:eastAsia="ja-JP"/>
        </w:rPr>
        <w:t xml:space="preserve"> and ∑MB</w:t>
      </w:r>
      <w:r w:rsidRPr="00D736F3">
        <w:rPr>
          <w:rFonts w:hint="eastAsia"/>
          <w:i/>
          <w:sz w:val="20"/>
          <w:szCs w:val="20"/>
          <w:vertAlign w:val="subscript"/>
          <w:lang w:eastAsia="ja-JP"/>
        </w:rPr>
        <w:t>S</w:t>
      </w:r>
      <w:r w:rsidRPr="00D736F3">
        <w:rPr>
          <w:rFonts w:hint="eastAsia"/>
          <w:i/>
          <w:sz w:val="20"/>
          <w:szCs w:val="20"/>
          <w:lang w:eastAsia="ja-JP"/>
        </w:rPr>
        <w:t xml:space="preserve"> are set to 0.</w:t>
      </w:r>
      <w:r w:rsidRPr="00D736F3">
        <w:rPr>
          <w:i/>
          <w:sz w:val="20"/>
          <w:szCs w:val="20"/>
          <w:lang w:eastAsia="ja-JP"/>
        </w:rPr>
        <w:t xml:space="preserve">” </w:t>
      </w:r>
    </w:p>
    <w:p w:rsidR="00D736F3" w:rsidRDefault="00D736F3" w:rsidP="006F6E10">
      <w:pPr>
        <w:rPr>
          <w:sz w:val="20"/>
          <w:szCs w:val="20"/>
          <w:lang w:eastAsia="ja-JP"/>
        </w:rPr>
      </w:pPr>
    </w:p>
    <w:p w:rsidR="006F6E10" w:rsidRPr="006F6E10" w:rsidRDefault="006F6E10" w:rsidP="006F6E10">
      <w:pPr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The problem with </w:t>
      </w:r>
      <w:r w:rsidR="00D736F3">
        <w:rPr>
          <w:sz w:val="20"/>
          <w:szCs w:val="20"/>
          <w:lang w:eastAsia="ja-JP"/>
        </w:rPr>
        <w:t xml:space="preserve">the sentence above is that it is premature to make </w:t>
      </w:r>
      <w:r>
        <w:rPr>
          <w:sz w:val="20"/>
          <w:szCs w:val="20"/>
          <w:lang w:eastAsia="ja-JP"/>
        </w:rPr>
        <w:t>such a statement</w:t>
      </w:r>
      <w:r w:rsidR="00D736F3">
        <w:rPr>
          <w:sz w:val="20"/>
          <w:szCs w:val="20"/>
          <w:lang w:eastAsia="ja-JP"/>
        </w:rPr>
        <w:t xml:space="preserve"> in the spec, since</w:t>
      </w:r>
      <w:r>
        <w:rPr>
          <w:sz w:val="20"/>
          <w:szCs w:val="20"/>
          <w:lang w:eastAsia="ja-JP"/>
        </w:rPr>
        <w:t xml:space="preserve"> we anticipate new bands will be introduced </w:t>
      </w:r>
      <w:r w:rsidR="00D736F3">
        <w:rPr>
          <w:sz w:val="20"/>
          <w:szCs w:val="20"/>
          <w:lang w:eastAsia="ja-JP"/>
        </w:rPr>
        <w:t>in</w:t>
      </w:r>
      <w:r>
        <w:rPr>
          <w:sz w:val="20"/>
          <w:szCs w:val="20"/>
          <w:lang w:eastAsia="ja-JP"/>
        </w:rPr>
        <w:t xml:space="preserve"> FR2</w:t>
      </w:r>
      <w:r w:rsidR="00D736F3">
        <w:rPr>
          <w:sz w:val="20"/>
          <w:szCs w:val="20"/>
          <w:lang w:eastAsia="ja-JP"/>
        </w:rPr>
        <w:t>.</w:t>
      </w:r>
      <w:r>
        <w:rPr>
          <w:sz w:val="20"/>
          <w:szCs w:val="20"/>
          <w:lang w:eastAsia="ja-JP"/>
        </w:rPr>
        <w:t xml:space="preserve"> </w:t>
      </w:r>
      <w:r w:rsidR="00D736F3">
        <w:rPr>
          <w:sz w:val="20"/>
          <w:szCs w:val="20"/>
          <w:lang w:eastAsia="ja-JP"/>
        </w:rPr>
        <w:t xml:space="preserve">Therefore, </w:t>
      </w:r>
      <w:r>
        <w:rPr>
          <w:sz w:val="20"/>
          <w:szCs w:val="20"/>
          <w:lang w:eastAsia="ja-JP"/>
        </w:rPr>
        <w:t>before we can assess what relaxations will be</w:t>
      </w:r>
      <w:r w:rsidR="00D736F3">
        <w:rPr>
          <w:sz w:val="20"/>
          <w:szCs w:val="20"/>
          <w:lang w:eastAsia="ja-JP"/>
        </w:rPr>
        <w:t xml:space="preserve"> needed for the new bands</w:t>
      </w:r>
      <w:r>
        <w:rPr>
          <w:sz w:val="20"/>
          <w:szCs w:val="20"/>
          <w:lang w:eastAsia="ja-JP"/>
        </w:rPr>
        <w:t xml:space="preserve">, this statement </w:t>
      </w:r>
      <w:r w:rsidR="00D736F3">
        <w:rPr>
          <w:sz w:val="20"/>
          <w:szCs w:val="20"/>
          <w:lang w:eastAsia="ja-JP"/>
        </w:rPr>
        <w:t>can</w:t>
      </w:r>
      <w:r>
        <w:rPr>
          <w:sz w:val="20"/>
          <w:szCs w:val="20"/>
          <w:lang w:eastAsia="ja-JP"/>
        </w:rPr>
        <w:t xml:space="preserve"> be interpreted </w:t>
      </w:r>
      <w:r w:rsidR="00D736F3">
        <w:rPr>
          <w:sz w:val="20"/>
          <w:szCs w:val="20"/>
          <w:lang w:eastAsia="ja-JP"/>
        </w:rPr>
        <w:t>to mean</w:t>
      </w:r>
      <w:r>
        <w:rPr>
          <w:sz w:val="20"/>
          <w:szCs w:val="20"/>
          <w:lang w:eastAsia="ja-JP"/>
        </w:rPr>
        <w:t xml:space="preserve"> </w:t>
      </w:r>
      <w:r w:rsidR="00D736F3">
        <w:rPr>
          <w:sz w:val="20"/>
          <w:szCs w:val="20"/>
          <w:lang w:eastAsia="ja-JP"/>
        </w:rPr>
        <w:t>future relaxations are</w:t>
      </w:r>
      <w:r>
        <w:rPr>
          <w:sz w:val="20"/>
          <w:szCs w:val="20"/>
          <w:lang w:eastAsia="ja-JP"/>
        </w:rPr>
        <w:t xml:space="preserve"> </w:t>
      </w:r>
      <w:r w:rsidR="00D736F3">
        <w:rPr>
          <w:sz w:val="20"/>
          <w:szCs w:val="20"/>
          <w:lang w:eastAsia="ja-JP"/>
        </w:rPr>
        <w:t>precluded</w:t>
      </w:r>
      <w:r>
        <w:rPr>
          <w:sz w:val="20"/>
          <w:szCs w:val="20"/>
          <w:lang w:eastAsia="ja-JP"/>
        </w:rPr>
        <w:t xml:space="preserve">. </w:t>
      </w:r>
      <w:r w:rsidR="00D736F3">
        <w:rPr>
          <w:sz w:val="20"/>
          <w:szCs w:val="20"/>
          <w:lang w:eastAsia="ja-JP"/>
        </w:rPr>
        <w:t xml:space="preserve">Also, it may </w:t>
      </w:r>
      <w:r w:rsidR="00400FC1">
        <w:rPr>
          <w:sz w:val="20"/>
          <w:szCs w:val="20"/>
          <w:lang w:eastAsia="ja-JP"/>
        </w:rPr>
        <w:t>happen</w:t>
      </w:r>
      <w:r w:rsidR="00D736F3">
        <w:rPr>
          <w:sz w:val="20"/>
          <w:szCs w:val="20"/>
          <w:lang w:eastAsia="ja-JP"/>
        </w:rPr>
        <w:t xml:space="preserve"> that several new </w:t>
      </w:r>
      <w:r w:rsidR="00D736F3">
        <w:rPr>
          <w:sz w:val="20"/>
          <w:szCs w:val="20"/>
          <w:lang w:eastAsia="ja-JP"/>
        </w:rPr>
        <w:lastRenderedPageBreak/>
        <w:t>cases will have a 0dB relaxation, and that would mean having to write many sentences for each</w:t>
      </w:r>
      <w:r w:rsidR="00400FC1">
        <w:rPr>
          <w:sz w:val="20"/>
          <w:szCs w:val="20"/>
          <w:lang w:eastAsia="ja-JP"/>
        </w:rPr>
        <w:t xml:space="preserve"> of these</w:t>
      </w:r>
      <w:r w:rsidR="00D736F3">
        <w:rPr>
          <w:sz w:val="20"/>
          <w:szCs w:val="20"/>
          <w:lang w:eastAsia="ja-JP"/>
        </w:rPr>
        <w:t>. In fact</w:t>
      </w:r>
      <w:r>
        <w:rPr>
          <w:sz w:val="20"/>
          <w:szCs w:val="20"/>
          <w:lang w:eastAsia="ja-JP"/>
        </w:rPr>
        <w:t xml:space="preserve">, </w:t>
      </w:r>
      <w:r w:rsidR="00400FC1">
        <w:rPr>
          <w:sz w:val="20"/>
          <w:szCs w:val="20"/>
          <w:lang w:eastAsia="ja-JP"/>
        </w:rPr>
        <w:t xml:space="preserve">readability is better </w:t>
      </w:r>
      <w:r w:rsidR="00D736F3">
        <w:rPr>
          <w:sz w:val="20"/>
          <w:szCs w:val="20"/>
          <w:lang w:eastAsia="ja-JP"/>
        </w:rPr>
        <w:t xml:space="preserve">and </w:t>
      </w:r>
      <w:r w:rsidR="00400FC1">
        <w:rPr>
          <w:sz w:val="20"/>
          <w:szCs w:val="20"/>
          <w:lang w:eastAsia="ja-JP"/>
        </w:rPr>
        <w:t>clearer</w:t>
      </w:r>
      <w:r w:rsidR="00D736F3">
        <w:rPr>
          <w:sz w:val="20"/>
          <w:szCs w:val="20"/>
          <w:lang w:eastAsia="ja-JP"/>
        </w:rPr>
        <w:t xml:space="preserve"> if we </w:t>
      </w:r>
      <w:r>
        <w:rPr>
          <w:sz w:val="20"/>
          <w:szCs w:val="20"/>
          <w:lang w:eastAsia="ja-JP"/>
        </w:rPr>
        <w:t>add a row to the relaxation table in TS 38.101-2.</w:t>
      </w:r>
    </w:p>
    <w:p w:rsidR="006F6E10" w:rsidRDefault="006F6E10" w:rsidP="00C03832">
      <w:pPr>
        <w:rPr>
          <w:sz w:val="20"/>
          <w:szCs w:val="20"/>
        </w:rPr>
      </w:pPr>
    </w:p>
    <w:p w:rsidR="006F6E10" w:rsidRDefault="006F6E10" w:rsidP="006F6E10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Having a sentence stating multi-band </w:t>
      </w:r>
      <w:r w:rsidR="00D736F3">
        <w:rPr>
          <w:sz w:val="20"/>
          <w:szCs w:val="20"/>
        </w:rPr>
        <w:t>relaxations are 0dB unless otherwise stated can be a problem once new FR2 bands are introduced.</w:t>
      </w:r>
    </w:p>
    <w:p w:rsidR="006F6E10" w:rsidRPr="006F6E10" w:rsidRDefault="006F6E10" w:rsidP="00C03832">
      <w:pPr>
        <w:rPr>
          <w:sz w:val="20"/>
          <w:szCs w:val="20"/>
        </w:rPr>
      </w:pPr>
    </w:p>
    <w:p w:rsidR="00C03832" w:rsidRDefault="00C03832" w:rsidP="00C03832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</w:t>
      </w:r>
      <w:r w:rsidR="00D736F3">
        <w:rPr>
          <w:sz w:val="20"/>
          <w:szCs w:val="20"/>
        </w:rPr>
        <w:t>Add a row to the relaxation table in TS 38.101-2 for cases with 0dB relaxation. This will make it easier for any reader to understand the multi-band case and its relaxations</w:t>
      </w:r>
      <w:r>
        <w:rPr>
          <w:sz w:val="20"/>
          <w:szCs w:val="20"/>
        </w:rPr>
        <w:t>.</w:t>
      </w:r>
    </w:p>
    <w:p w:rsidR="00C03832" w:rsidRDefault="00C03832" w:rsidP="00C03832">
      <w:pPr>
        <w:rPr>
          <w:b/>
          <w:sz w:val="20"/>
          <w:szCs w:val="20"/>
        </w:rPr>
      </w:pPr>
    </w:p>
    <w:p w:rsidR="00D736F3" w:rsidRPr="00D736F3" w:rsidRDefault="00D736F3" w:rsidP="00C03832">
      <w:pPr>
        <w:rPr>
          <w:sz w:val="20"/>
          <w:szCs w:val="20"/>
        </w:rPr>
      </w:pPr>
      <w:r w:rsidRPr="00D736F3">
        <w:rPr>
          <w:sz w:val="20"/>
          <w:szCs w:val="20"/>
        </w:rPr>
        <w:t xml:space="preserve">Some companies expressed concern about the eventual </w:t>
      </w:r>
      <w:r>
        <w:rPr>
          <w:sz w:val="20"/>
          <w:szCs w:val="20"/>
        </w:rPr>
        <w:t xml:space="preserve">large </w:t>
      </w:r>
      <w:r w:rsidRPr="00D736F3">
        <w:rPr>
          <w:sz w:val="20"/>
          <w:szCs w:val="20"/>
        </w:rPr>
        <w:t xml:space="preserve">size of the </w:t>
      </w:r>
      <w:r>
        <w:rPr>
          <w:sz w:val="20"/>
          <w:szCs w:val="20"/>
        </w:rPr>
        <w:t xml:space="preserve">relaxation </w:t>
      </w:r>
      <w:r w:rsidRPr="00D736F3">
        <w:rPr>
          <w:sz w:val="20"/>
          <w:szCs w:val="20"/>
        </w:rPr>
        <w:t>table</w:t>
      </w:r>
      <w:r>
        <w:rPr>
          <w:sz w:val="20"/>
          <w:szCs w:val="20"/>
        </w:rPr>
        <w:t xml:space="preserve"> if we keep adding rows</w:t>
      </w:r>
      <w:r w:rsidRPr="00D736F3">
        <w:rPr>
          <w:sz w:val="20"/>
          <w:szCs w:val="20"/>
        </w:rPr>
        <w:t xml:space="preserve">. However, as highlighted in </w:t>
      </w:r>
      <w:r>
        <w:rPr>
          <w:b/>
          <w:sz w:val="20"/>
          <w:szCs w:val="20"/>
        </w:rPr>
        <w:t>Observation 1</w:t>
      </w:r>
      <w:r w:rsidRPr="00D736F3">
        <w:rPr>
          <w:sz w:val="20"/>
          <w:szCs w:val="20"/>
        </w:rPr>
        <w:t xml:space="preserve">, we may need to use a different framework to derive the relaxations </w:t>
      </w:r>
      <w:r w:rsidR="00400FC1">
        <w:rPr>
          <w:sz w:val="20"/>
          <w:szCs w:val="20"/>
        </w:rPr>
        <w:t xml:space="preserve">for </w:t>
      </w:r>
      <w:r w:rsidRPr="00D736F3">
        <w:rPr>
          <w:sz w:val="20"/>
          <w:szCs w:val="20"/>
        </w:rPr>
        <w:t xml:space="preserve">new </w:t>
      </w:r>
      <w:r>
        <w:rPr>
          <w:sz w:val="20"/>
          <w:szCs w:val="20"/>
        </w:rPr>
        <w:t xml:space="preserve">FR2 </w:t>
      </w:r>
      <w:r w:rsidRPr="00D736F3">
        <w:rPr>
          <w:sz w:val="20"/>
          <w:szCs w:val="20"/>
        </w:rPr>
        <w:t>bands</w:t>
      </w:r>
      <w:r>
        <w:rPr>
          <w:sz w:val="20"/>
          <w:szCs w:val="20"/>
        </w:rPr>
        <w:t xml:space="preserve">. </w:t>
      </w:r>
      <w:r w:rsidR="00400FC1">
        <w:rPr>
          <w:sz w:val="20"/>
          <w:szCs w:val="20"/>
        </w:rPr>
        <w:t>Thus</w:t>
      </w:r>
      <w:r>
        <w:rPr>
          <w:sz w:val="20"/>
          <w:szCs w:val="20"/>
        </w:rPr>
        <w:t xml:space="preserve">, it makes sense to have a new table for </w:t>
      </w:r>
      <w:r w:rsidR="00400FC1">
        <w:rPr>
          <w:sz w:val="20"/>
          <w:szCs w:val="20"/>
        </w:rPr>
        <w:t>new FR2 bands</w:t>
      </w:r>
      <w:r>
        <w:rPr>
          <w:sz w:val="20"/>
          <w:szCs w:val="20"/>
        </w:rPr>
        <w:t>.</w:t>
      </w:r>
    </w:p>
    <w:p w:rsidR="00D736F3" w:rsidRDefault="00D736F3" w:rsidP="00C03832">
      <w:pPr>
        <w:rPr>
          <w:b/>
          <w:sz w:val="20"/>
          <w:szCs w:val="20"/>
        </w:rPr>
      </w:pPr>
    </w:p>
    <w:p w:rsidR="00C03832" w:rsidRPr="00D736F3" w:rsidRDefault="00C03832" w:rsidP="00021B8B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Observation 2:</w:t>
      </w:r>
      <w:r>
        <w:rPr>
          <w:sz w:val="20"/>
          <w:szCs w:val="20"/>
        </w:rPr>
        <w:t xml:space="preserve"> If the relaxation table becomes too large as new </w:t>
      </w:r>
      <w:r w:rsidR="00D736F3">
        <w:rPr>
          <w:sz w:val="20"/>
          <w:szCs w:val="20"/>
        </w:rPr>
        <w:t xml:space="preserve">FR2 </w:t>
      </w:r>
      <w:r>
        <w:rPr>
          <w:sz w:val="20"/>
          <w:szCs w:val="20"/>
        </w:rPr>
        <w:t xml:space="preserve">bands are introduced, we can have a separate </w:t>
      </w:r>
      <w:r w:rsidR="00D736F3">
        <w:rPr>
          <w:sz w:val="20"/>
          <w:szCs w:val="20"/>
        </w:rPr>
        <w:t xml:space="preserve">relaxation </w:t>
      </w:r>
      <w:r>
        <w:rPr>
          <w:sz w:val="20"/>
          <w:szCs w:val="20"/>
        </w:rPr>
        <w:t xml:space="preserve">table for </w:t>
      </w:r>
      <w:r w:rsidR="00400FC1">
        <w:rPr>
          <w:sz w:val="20"/>
          <w:szCs w:val="20"/>
        </w:rPr>
        <w:t xml:space="preserve">the </w:t>
      </w:r>
      <w:r w:rsidR="00D736F3">
        <w:rPr>
          <w:sz w:val="20"/>
          <w:szCs w:val="20"/>
        </w:rPr>
        <w:t>new bands in TS 38.101-2</w:t>
      </w:r>
      <w:r>
        <w:rPr>
          <w:sz w:val="20"/>
          <w:szCs w:val="20"/>
        </w:rPr>
        <w:t>.</w:t>
      </w:r>
      <w:r w:rsidR="00D736F3">
        <w:rPr>
          <w:sz w:val="20"/>
          <w:szCs w:val="20"/>
        </w:rPr>
        <w:t xml:space="preserve"> </w:t>
      </w:r>
    </w:p>
    <w:p w:rsidR="00021B8B" w:rsidRPr="00E40C86" w:rsidRDefault="00021B8B" w:rsidP="00021B8B">
      <w:pPr>
        <w:pStyle w:val="Heading1"/>
        <w:rPr>
          <w:lang w:val="en-US"/>
        </w:rPr>
      </w:pPr>
      <w:r w:rsidRPr="00E40C86">
        <w:rPr>
          <w:lang w:val="en-US"/>
        </w:rPr>
        <w:t>Conclusions</w:t>
      </w:r>
    </w:p>
    <w:p w:rsidR="00021B8B" w:rsidRPr="008B61BA" w:rsidRDefault="00021B8B" w:rsidP="00021B8B">
      <w:pPr>
        <w:rPr>
          <w:sz w:val="20"/>
          <w:szCs w:val="20"/>
        </w:rPr>
      </w:pPr>
      <w:r>
        <w:rPr>
          <w:sz w:val="20"/>
          <w:szCs w:val="20"/>
        </w:rPr>
        <w:t xml:space="preserve">In this paper, we </w:t>
      </w:r>
      <w:r w:rsidR="000D4493">
        <w:rPr>
          <w:sz w:val="20"/>
          <w:szCs w:val="20"/>
        </w:rPr>
        <w:t>discussed how to incorporate the latest agreements for multi-band relaxation into TS 38.101-2, and things to consider for future relaxations discussions once new FR2 bands are available. We made the following observations and proposals</w:t>
      </w:r>
      <w:r w:rsidRPr="008B61BA">
        <w:rPr>
          <w:sz w:val="20"/>
          <w:szCs w:val="20"/>
        </w:rPr>
        <w:t>:</w:t>
      </w:r>
    </w:p>
    <w:p w:rsidR="00021B8B" w:rsidRPr="008B61BA" w:rsidRDefault="00021B8B" w:rsidP="00021B8B">
      <w:pPr>
        <w:rPr>
          <w:sz w:val="20"/>
          <w:szCs w:val="20"/>
        </w:rPr>
      </w:pPr>
    </w:p>
    <w:p w:rsidR="00400FC1" w:rsidRDefault="00400FC1" w:rsidP="00400FC1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Having a sentence stating multi-band relaxations are 0dB unless otherwise stated can be a problem once new FR2 bands are introduced.</w:t>
      </w:r>
    </w:p>
    <w:p w:rsidR="00400FC1" w:rsidRPr="006F6E10" w:rsidRDefault="00400FC1" w:rsidP="00400FC1">
      <w:pPr>
        <w:rPr>
          <w:sz w:val="20"/>
          <w:szCs w:val="20"/>
        </w:rPr>
      </w:pPr>
    </w:p>
    <w:p w:rsidR="00D736F3" w:rsidRDefault="00400FC1" w:rsidP="00400FC1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Add a row to the relaxation table in TS 38.101-2 for cases with 0dB relaxation. This will make it easier for any reader to understand the multi-band case and its relaxations.</w:t>
      </w:r>
    </w:p>
    <w:p w:rsidR="00D736F3" w:rsidRDefault="00D736F3" w:rsidP="00D736F3">
      <w:pPr>
        <w:rPr>
          <w:sz w:val="20"/>
          <w:szCs w:val="20"/>
        </w:rPr>
      </w:pPr>
    </w:p>
    <w:p w:rsidR="00400FC1" w:rsidRPr="00D736F3" w:rsidRDefault="00400FC1" w:rsidP="00400FC1">
      <w:pPr>
        <w:rPr>
          <w:sz w:val="20"/>
          <w:szCs w:val="20"/>
        </w:rPr>
      </w:pPr>
      <w:r w:rsidRPr="00DF5478">
        <w:rPr>
          <w:b/>
          <w:sz w:val="20"/>
          <w:szCs w:val="20"/>
        </w:rPr>
        <w:t>Observation 2:</w:t>
      </w:r>
      <w:r>
        <w:rPr>
          <w:sz w:val="20"/>
          <w:szCs w:val="20"/>
        </w:rPr>
        <w:t xml:space="preserve"> If the relaxation table becomes too large as new FR2 bands are introduced, we can have a separate relaxation table for the new bands in TS 38.101-2. </w:t>
      </w:r>
    </w:p>
    <w:p w:rsidR="00021B8B" w:rsidRPr="008A3EDF" w:rsidRDefault="00021B8B" w:rsidP="00021B8B">
      <w:pPr>
        <w:pStyle w:val="Heading1"/>
        <w:rPr>
          <w:lang w:val="en-US"/>
        </w:rPr>
      </w:pPr>
      <w:r w:rsidRPr="008A3EDF">
        <w:rPr>
          <w:lang w:val="en-US"/>
        </w:rPr>
        <w:t>References</w:t>
      </w:r>
    </w:p>
    <w:p w:rsidR="00F13457" w:rsidRPr="0035736C" w:rsidRDefault="00E40C86" w:rsidP="00021B8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35736C">
        <w:rPr>
          <w:sz w:val="20"/>
          <w:szCs w:val="20"/>
        </w:rPr>
        <w:t>R4-180</w:t>
      </w:r>
      <w:r w:rsidR="0035736C" w:rsidRPr="0035736C">
        <w:rPr>
          <w:sz w:val="20"/>
          <w:szCs w:val="20"/>
        </w:rPr>
        <w:t>9601</w:t>
      </w:r>
      <w:r w:rsidRPr="0035736C">
        <w:rPr>
          <w:sz w:val="20"/>
          <w:szCs w:val="20"/>
        </w:rPr>
        <w:t xml:space="preserve">, “RAN4#87 Meeting report,”, August </w:t>
      </w:r>
      <w:r w:rsidR="00F13457" w:rsidRPr="0035736C">
        <w:rPr>
          <w:sz w:val="20"/>
          <w:szCs w:val="20"/>
        </w:rPr>
        <w:t>2018</w:t>
      </w:r>
    </w:p>
    <w:p w:rsidR="00F94472" w:rsidRPr="00F94472" w:rsidRDefault="00F94472" w:rsidP="00F94472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F94472">
        <w:rPr>
          <w:sz w:val="20"/>
          <w:szCs w:val="20"/>
        </w:rPr>
        <w:t>R4-181</w:t>
      </w:r>
      <w:r w:rsidRPr="00F94472">
        <w:rPr>
          <w:sz w:val="20"/>
          <w:szCs w:val="20"/>
        </w:rPr>
        <w:t>1521</w:t>
      </w:r>
      <w:r w:rsidRPr="00F94472">
        <w:rPr>
          <w:sz w:val="20"/>
          <w:szCs w:val="20"/>
        </w:rPr>
        <w:t>, “M</w:t>
      </w:r>
      <w:r w:rsidRPr="00F94472">
        <w:rPr>
          <w:sz w:val="20"/>
          <w:szCs w:val="20"/>
        </w:rPr>
        <w:t>inute for m</w:t>
      </w:r>
      <w:r w:rsidRPr="00F94472">
        <w:rPr>
          <w:sz w:val="20"/>
          <w:szCs w:val="20"/>
        </w:rPr>
        <w:t>ulti</w:t>
      </w:r>
      <w:r w:rsidRPr="00F94472">
        <w:rPr>
          <w:sz w:val="20"/>
          <w:szCs w:val="20"/>
        </w:rPr>
        <w:t xml:space="preserve">ple </w:t>
      </w:r>
      <w:r w:rsidRPr="00F94472">
        <w:rPr>
          <w:sz w:val="20"/>
          <w:szCs w:val="20"/>
        </w:rPr>
        <w:t>band</w:t>
      </w:r>
      <w:r w:rsidRPr="00F94472">
        <w:rPr>
          <w:sz w:val="20"/>
          <w:szCs w:val="20"/>
        </w:rPr>
        <w:t>s</w:t>
      </w:r>
      <w:r w:rsidRPr="00F94472">
        <w:rPr>
          <w:sz w:val="20"/>
          <w:szCs w:val="20"/>
        </w:rPr>
        <w:t xml:space="preserve"> </w:t>
      </w:r>
      <w:r w:rsidRPr="00F94472">
        <w:rPr>
          <w:sz w:val="20"/>
          <w:szCs w:val="20"/>
        </w:rPr>
        <w:t>support</w:t>
      </w:r>
      <w:r w:rsidRPr="00F94472">
        <w:rPr>
          <w:sz w:val="20"/>
          <w:szCs w:val="20"/>
        </w:rPr>
        <w:t xml:space="preserve">,” </w:t>
      </w:r>
      <w:r>
        <w:rPr>
          <w:sz w:val="20"/>
          <w:szCs w:val="20"/>
        </w:rPr>
        <w:t xml:space="preserve">Apple, </w:t>
      </w:r>
      <w:bookmarkStart w:id="0" w:name="_GoBack"/>
      <w:bookmarkEnd w:id="0"/>
      <w:r w:rsidRPr="00F94472">
        <w:rPr>
          <w:sz w:val="20"/>
          <w:szCs w:val="20"/>
        </w:rPr>
        <w:t>RAN4 #8</w:t>
      </w:r>
      <w:r w:rsidRPr="00F94472">
        <w:rPr>
          <w:sz w:val="20"/>
          <w:szCs w:val="20"/>
        </w:rPr>
        <w:t>8bis</w:t>
      </w:r>
      <w:r w:rsidRPr="00F94472">
        <w:rPr>
          <w:sz w:val="20"/>
          <w:szCs w:val="20"/>
        </w:rPr>
        <w:t xml:space="preserve">, </w:t>
      </w:r>
      <w:r w:rsidRPr="00F94472">
        <w:rPr>
          <w:sz w:val="20"/>
          <w:szCs w:val="20"/>
        </w:rPr>
        <w:t>October</w:t>
      </w:r>
      <w:r w:rsidRPr="00F94472">
        <w:rPr>
          <w:sz w:val="20"/>
          <w:szCs w:val="20"/>
        </w:rPr>
        <w:t xml:space="preserve"> 2018</w:t>
      </w:r>
    </w:p>
    <w:p w:rsidR="00F13457" w:rsidRPr="00F94472" w:rsidRDefault="00E40C86" w:rsidP="00021B8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F94472">
        <w:rPr>
          <w:sz w:val="20"/>
          <w:szCs w:val="20"/>
        </w:rPr>
        <w:t>R4-181</w:t>
      </w:r>
      <w:r w:rsidR="008A3EDF" w:rsidRPr="00F94472">
        <w:rPr>
          <w:sz w:val="20"/>
          <w:szCs w:val="20"/>
        </w:rPr>
        <w:t>6216</w:t>
      </w:r>
      <w:r w:rsidRPr="00F94472">
        <w:rPr>
          <w:sz w:val="20"/>
          <w:szCs w:val="20"/>
        </w:rPr>
        <w:t>, “</w:t>
      </w:r>
      <w:r w:rsidR="008A3EDF" w:rsidRPr="00F94472">
        <w:rPr>
          <w:sz w:val="20"/>
          <w:szCs w:val="20"/>
        </w:rPr>
        <w:t>FR2 m</w:t>
      </w:r>
      <w:r w:rsidR="00F13457" w:rsidRPr="00F94472">
        <w:rPr>
          <w:sz w:val="20"/>
          <w:szCs w:val="20"/>
        </w:rPr>
        <w:t xml:space="preserve">ulti-band </w:t>
      </w:r>
      <w:r w:rsidR="008A3EDF" w:rsidRPr="00F94472">
        <w:rPr>
          <w:sz w:val="20"/>
          <w:szCs w:val="20"/>
        </w:rPr>
        <w:t xml:space="preserve">support </w:t>
      </w:r>
      <w:proofErr w:type="spellStart"/>
      <w:r w:rsidR="008A3EDF" w:rsidRPr="00F94472">
        <w:rPr>
          <w:sz w:val="20"/>
          <w:szCs w:val="20"/>
        </w:rPr>
        <w:t>adhoc</w:t>
      </w:r>
      <w:proofErr w:type="spellEnd"/>
      <w:r w:rsidR="008A3EDF" w:rsidRPr="00F94472">
        <w:rPr>
          <w:sz w:val="20"/>
          <w:szCs w:val="20"/>
        </w:rPr>
        <w:t xml:space="preserve"> minutes</w:t>
      </w:r>
      <w:r w:rsidRPr="00F94472">
        <w:rPr>
          <w:sz w:val="20"/>
          <w:szCs w:val="20"/>
        </w:rPr>
        <w:t xml:space="preserve">,” </w:t>
      </w:r>
      <w:r w:rsidR="008A3EDF" w:rsidRPr="00F94472">
        <w:rPr>
          <w:sz w:val="20"/>
          <w:szCs w:val="20"/>
        </w:rPr>
        <w:t xml:space="preserve">Apple, </w:t>
      </w:r>
      <w:r w:rsidRPr="00F94472">
        <w:rPr>
          <w:sz w:val="20"/>
          <w:szCs w:val="20"/>
        </w:rPr>
        <w:t>RAN4 #8</w:t>
      </w:r>
      <w:r w:rsidR="00F94472">
        <w:rPr>
          <w:sz w:val="20"/>
          <w:szCs w:val="20"/>
        </w:rPr>
        <w:t>9</w:t>
      </w:r>
      <w:r w:rsidRPr="00F94472">
        <w:rPr>
          <w:sz w:val="20"/>
          <w:szCs w:val="20"/>
        </w:rPr>
        <w:t>,</w:t>
      </w:r>
      <w:r w:rsidR="00F13457" w:rsidRPr="00F94472">
        <w:rPr>
          <w:sz w:val="20"/>
          <w:szCs w:val="20"/>
        </w:rPr>
        <w:t xml:space="preserve"> </w:t>
      </w:r>
      <w:r w:rsidR="00F94472">
        <w:rPr>
          <w:sz w:val="20"/>
          <w:szCs w:val="20"/>
        </w:rPr>
        <w:t>Novem</w:t>
      </w:r>
      <w:r w:rsidRPr="00F94472">
        <w:rPr>
          <w:sz w:val="20"/>
          <w:szCs w:val="20"/>
        </w:rPr>
        <w:t>ber</w:t>
      </w:r>
      <w:r w:rsidR="00F13457" w:rsidRPr="00F94472">
        <w:rPr>
          <w:sz w:val="20"/>
          <w:szCs w:val="20"/>
        </w:rPr>
        <w:t xml:space="preserve"> 2018</w:t>
      </w:r>
    </w:p>
    <w:p w:rsidR="00F13457" w:rsidRDefault="00F13457" w:rsidP="00F13457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TS 38.101-2, version 15.5.0</w:t>
      </w:r>
    </w:p>
    <w:p w:rsidR="00F13457" w:rsidRDefault="00F13457" w:rsidP="00021B8B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R4-1900573, “Make FR2 PC3 Multiband Relaxation Factor Table Complete,” MediaTek, RAN4 #90, February 2019</w:t>
      </w:r>
    </w:p>
    <w:p w:rsidR="00F13457" w:rsidRDefault="00F13457" w:rsidP="00F13457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891267">
        <w:rPr>
          <w:sz w:val="20"/>
          <w:szCs w:val="20"/>
        </w:rPr>
        <w:t>R4-1902801, “RAN4#90 Meeting report,” April 2019</w:t>
      </w:r>
    </w:p>
    <w:p w:rsidR="005F62C2" w:rsidRDefault="005F62C2" w:rsidP="005F62C2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R4-1904461, “Draft CR for 38.101-2 multi-band relaxation, Huawei, </w:t>
      </w:r>
      <w:proofErr w:type="spellStart"/>
      <w:r>
        <w:rPr>
          <w:sz w:val="20"/>
          <w:szCs w:val="20"/>
        </w:rPr>
        <w:t>HiSilicon</w:t>
      </w:r>
      <w:proofErr w:type="spellEnd"/>
      <w:r>
        <w:rPr>
          <w:sz w:val="20"/>
          <w:szCs w:val="20"/>
        </w:rPr>
        <w:t>, RAN4 #90bis, April 2019</w:t>
      </w:r>
    </w:p>
    <w:p w:rsidR="00F13457" w:rsidRDefault="00F13457" w:rsidP="00F13457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R4-190xxxx, “RAN4#90bis Meeting report,” May 2019</w:t>
      </w:r>
    </w:p>
    <w:p w:rsidR="001F175F" w:rsidRPr="00D736F3" w:rsidRDefault="005F62C2" w:rsidP="00D736F3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R4-1904678, “Draft CR for Multi-band relaxation to TS 38.101-2,” NTT DOCOMO, RAN4 #90bis, April 2019</w:t>
      </w:r>
    </w:p>
    <w:sectPr w:rsidR="001F175F" w:rsidRPr="00D736F3" w:rsidSect="001F175F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E5C" w:rsidRDefault="00B23E5C">
      <w:r>
        <w:separator/>
      </w:r>
    </w:p>
  </w:endnote>
  <w:endnote w:type="continuationSeparator" w:id="0">
    <w:p w:rsidR="00B23E5C" w:rsidRDefault="00B2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75F" w:rsidRDefault="001F175F" w:rsidP="001F17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175F" w:rsidRDefault="001F175F" w:rsidP="001F17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75F" w:rsidRPr="00DB1239" w:rsidRDefault="001F175F" w:rsidP="001F175F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44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447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E5C" w:rsidRDefault="00B23E5C">
      <w:r>
        <w:separator/>
      </w:r>
    </w:p>
  </w:footnote>
  <w:footnote w:type="continuationSeparator" w:id="0">
    <w:p w:rsidR="00B23E5C" w:rsidRDefault="00B23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75F" w:rsidRDefault="001F1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1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B005CB8"/>
    <w:multiLevelType w:val="hybridMultilevel"/>
    <w:tmpl w:val="A22CE1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21B8B"/>
    <w:rsid w:val="000305CA"/>
    <w:rsid w:val="000D4493"/>
    <w:rsid w:val="001672FF"/>
    <w:rsid w:val="00190F8C"/>
    <w:rsid w:val="001B74C8"/>
    <w:rsid w:val="001F175F"/>
    <w:rsid w:val="00264E62"/>
    <w:rsid w:val="002F44ED"/>
    <w:rsid w:val="0035736C"/>
    <w:rsid w:val="00400FC1"/>
    <w:rsid w:val="004F06E3"/>
    <w:rsid w:val="005876D9"/>
    <w:rsid w:val="005A2959"/>
    <w:rsid w:val="005F62C2"/>
    <w:rsid w:val="006F6E10"/>
    <w:rsid w:val="00844CF4"/>
    <w:rsid w:val="008A3EDF"/>
    <w:rsid w:val="008A7B4F"/>
    <w:rsid w:val="009145EC"/>
    <w:rsid w:val="00920086"/>
    <w:rsid w:val="00A723F7"/>
    <w:rsid w:val="00B23E5C"/>
    <w:rsid w:val="00BE0946"/>
    <w:rsid w:val="00C03832"/>
    <w:rsid w:val="00CF6E82"/>
    <w:rsid w:val="00D736F3"/>
    <w:rsid w:val="00DB1E60"/>
    <w:rsid w:val="00DF5478"/>
    <w:rsid w:val="00E14DB3"/>
    <w:rsid w:val="00E40C86"/>
    <w:rsid w:val="00F13457"/>
    <w:rsid w:val="00F735D5"/>
    <w:rsid w:val="00F9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72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860</Words>
  <Characters>4354</Characters>
  <Application>Microsoft Office Word</Application>
  <DocSecurity>0</DocSecurity>
  <Lines>86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4</cp:revision>
  <dcterms:created xsi:type="dcterms:W3CDTF">2019-05-03T22:04:00Z</dcterms:created>
  <dcterms:modified xsi:type="dcterms:W3CDTF">2019-05-03T22:56:00Z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ebf834bb-9336-4c81-82e9-203319c2afc7</vt:lpwstr>
  </property>
  <property fmtid="{D5CDD505-2E9C-101B-9397-08002B2CF9AE}" pid="3" name="CTP_TimeStamp">
    <vt:lpwstr>2019-05-03 22:56:15Z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